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7" w:rsidRPr="002414C5" w:rsidRDefault="00F930A7" w:rsidP="00F930A7">
      <w:pPr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sz w:val="28"/>
          <w:lang w:eastAsia="zh-HK"/>
        </w:rPr>
        <w:t>Table 4:</w:t>
      </w:r>
    </w:p>
    <w:p w:rsidR="00F930A7" w:rsidRPr="002414C5" w:rsidRDefault="00F930A7" w:rsidP="00F930A7">
      <w:pPr>
        <w:rPr>
          <w:rFonts w:ascii="Arial" w:hAnsi="Arial" w:cs="Arial"/>
          <w:sz w:val="28"/>
          <w:lang w:eastAsia="zh-HK"/>
        </w:rPr>
      </w:pPr>
    </w:p>
    <w:p w:rsidR="00F930A7" w:rsidRPr="002414C5" w:rsidRDefault="00F930A7" w:rsidP="00F930A7">
      <w:pPr>
        <w:jc w:val="center"/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sz w:val="28"/>
          <w:lang w:eastAsia="zh-HK"/>
        </w:rPr>
        <w:t>Additional Liberalization Measures</w:t>
      </w:r>
      <w:r>
        <w:rPr>
          <w:rFonts w:ascii="Arial" w:hAnsi="Arial" w:cs="Arial" w:hint="eastAsia"/>
          <w:sz w:val="28"/>
          <w:lang w:eastAsia="zh-HK"/>
        </w:rPr>
        <w:t xml:space="preserve"> under </w:t>
      </w:r>
      <w:r w:rsidRPr="002414C5">
        <w:rPr>
          <w:rFonts w:ascii="Arial" w:hAnsi="Arial" w:cs="Arial"/>
          <w:sz w:val="28"/>
          <w:lang w:eastAsia="zh-HK"/>
        </w:rPr>
        <w:t>Cultural Services</w:t>
      </w:r>
    </w:p>
    <w:p w:rsidR="00F930A7" w:rsidRPr="002414C5" w:rsidRDefault="00F930A7" w:rsidP="00F930A7">
      <w:pPr>
        <w:jc w:val="center"/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sz w:val="28"/>
          <w:lang w:eastAsia="zh-HK"/>
        </w:rPr>
        <w:t>(Positive List)</w:t>
      </w:r>
      <w:r w:rsidRPr="002414C5">
        <w:rPr>
          <w:rStyle w:val="aa"/>
          <w:rFonts w:ascii="Arial" w:hAnsi="Arial" w:cs="Arial"/>
          <w:sz w:val="28"/>
          <w:lang w:eastAsia="zh-HK"/>
        </w:rPr>
        <w:footnoteReference w:id="1"/>
      </w:r>
    </w:p>
    <w:p w:rsidR="00F930A7" w:rsidRPr="002414C5" w:rsidRDefault="00F930A7" w:rsidP="00F930A7">
      <w:pPr>
        <w:jc w:val="center"/>
        <w:rPr>
          <w:rFonts w:ascii="Arial" w:hAnsi="Arial" w:cs="Arial"/>
          <w:sz w:val="28"/>
          <w:lang w:eastAsia="zh-HK"/>
        </w:rPr>
      </w:pPr>
    </w:p>
    <w:p w:rsidR="00F930A7" w:rsidRPr="002414C5" w:rsidRDefault="00F930A7" w:rsidP="00F930A7">
      <w:pPr>
        <w:widowControl/>
        <w:rPr>
          <w:rFonts w:ascii="Arial" w:hAnsi="Arial" w:cs="Arial"/>
          <w:sz w:val="28"/>
          <w:lang w:eastAsia="zh-HK"/>
        </w:rPr>
      </w:pPr>
    </w:p>
    <w:tbl>
      <w:tblPr>
        <w:tblStyle w:val="ab"/>
        <w:tblW w:w="9039" w:type="dxa"/>
        <w:tblLook w:val="04A0"/>
      </w:tblPr>
      <w:tblGrid>
        <w:gridCol w:w="1881"/>
        <w:gridCol w:w="7158"/>
      </w:tblGrid>
      <w:tr w:rsidR="00F930A7" w:rsidRPr="002414C5" w:rsidTr="00140C88">
        <w:trPr>
          <w:trHeight w:val="581"/>
        </w:trPr>
        <w:tc>
          <w:tcPr>
            <w:tcW w:w="1881" w:type="dxa"/>
            <w:vMerge w:val="restart"/>
          </w:tcPr>
          <w:p w:rsidR="00F930A7" w:rsidRPr="002414C5" w:rsidRDefault="00F930A7" w:rsidP="00140C88">
            <w:pPr>
              <w:rPr>
                <w:rFonts w:ascii="Arial" w:hAnsi="Arial" w:cs="Arial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</w:rPr>
              <w:t>Sector</w:t>
            </w: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 xml:space="preserve">s or Sub-sectors </w:t>
            </w:r>
          </w:p>
        </w:tc>
        <w:tc>
          <w:tcPr>
            <w:tcW w:w="7158" w:type="dxa"/>
          </w:tcPr>
          <w:p w:rsidR="00F930A7" w:rsidRPr="002414C5" w:rsidRDefault="00F930A7" w:rsidP="00140C88">
            <w:pPr>
              <w:rPr>
                <w:rFonts w:ascii="Arial" w:hAnsi="Arial" w:cs="Arial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</w:rPr>
              <w:t>1</w:t>
            </w: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>0</w:t>
            </w:r>
            <w:r w:rsidRPr="002414C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>Recreational, Cultural and Sporting</w:t>
            </w:r>
            <w:r w:rsidRPr="002414C5">
              <w:rPr>
                <w:rFonts w:ascii="Arial" w:hAnsi="Arial" w:cs="Arial"/>
                <w:sz w:val="28"/>
                <w:szCs w:val="28"/>
              </w:rPr>
              <w:t xml:space="preserve"> services</w:t>
            </w:r>
          </w:p>
        </w:tc>
      </w:tr>
      <w:tr w:rsidR="00F930A7" w:rsidRPr="002414C5" w:rsidTr="00140C88">
        <w:trPr>
          <w:trHeight w:val="561"/>
        </w:trPr>
        <w:tc>
          <w:tcPr>
            <w:tcW w:w="1881" w:type="dxa"/>
            <w:vMerge/>
          </w:tcPr>
          <w:p w:rsidR="00F930A7" w:rsidRPr="002414C5" w:rsidRDefault="00F930A7" w:rsidP="00140C88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</w:tc>
        <w:tc>
          <w:tcPr>
            <w:tcW w:w="7158" w:type="dxa"/>
          </w:tcPr>
          <w:p w:rsidR="00F930A7" w:rsidRPr="002414C5" w:rsidRDefault="00F930A7" w:rsidP="00140C88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>Entertainment services (other than audiovisual services) (CPC9619)</w:t>
            </w:r>
          </w:p>
        </w:tc>
      </w:tr>
      <w:tr w:rsidR="00F930A7" w:rsidRPr="002414C5" w:rsidTr="00140C88">
        <w:tc>
          <w:tcPr>
            <w:tcW w:w="1881" w:type="dxa"/>
          </w:tcPr>
          <w:p w:rsidR="00F930A7" w:rsidRPr="002414C5" w:rsidRDefault="00F930A7" w:rsidP="00140C88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>Specific commitments</w:t>
            </w:r>
          </w:p>
        </w:tc>
        <w:tc>
          <w:tcPr>
            <w:tcW w:w="7158" w:type="dxa"/>
          </w:tcPr>
          <w:p w:rsidR="00F930A7" w:rsidRPr="002414C5" w:rsidRDefault="00F930A7" w:rsidP="00140C88">
            <w:pPr>
              <w:rPr>
                <w:rFonts w:ascii="Arial" w:hAnsi="Arial" w:cs="Arial"/>
                <w:sz w:val="28"/>
                <w:szCs w:val="28"/>
                <w:u w:val="single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  <w:u w:val="single"/>
                <w:lang w:eastAsia="zh-HK"/>
              </w:rPr>
              <w:t>Commercial Presence</w:t>
            </w: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 xml:space="preserve"> </w:t>
            </w:r>
          </w:p>
          <w:p w:rsidR="00F930A7" w:rsidRPr="002414C5" w:rsidRDefault="00F930A7" w:rsidP="00140C88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  <w:p w:rsidR="00F930A7" w:rsidRDefault="00F930A7" w:rsidP="00140C88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sz w:val="28"/>
                <w:szCs w:val="28"/>
                <w:lang w:eastAsia="zh-HK"/>
              </w:rPr>
            </w:pPr>
            <w:r w:rsidRPr="00C60842">
              <w:rPr>
                <w:rFonts w:ascii="Arial" w:hAnsi="Arial" w:cs="Arial"/>
                <w:sz w:val="28"/>
                <w:szCs w:val="28"/>
                <w:lang w:eastAsia="zh-HK"/>
              </w:rPr>
              <w:t xml:space="preserve">To allow </w:t>
            </w:r>
            <w:r>
              <w:rPr>
                <w:rFonts w:ascii="Arial" w:hAnsi="Arial" w:cs="Arial"/>
                <w:sz w:val="28"/>
                <w:szCs w:val="28"/>
                <w:lang w:eastAsia="zh-HK"/>
              </w:rPr>
              <w:t>Macao</w:t>
            </w:r>
            <w:r w:rsidRPr="00C60842">
              <w:rPr>
                <w:rFonts w:ascii="Arial" w:hAnsi="Arial" w:cs="Arial"/>
                <w:sz w:val="28"/>
                <w:szCs w:val="28"/>
                <w:lang w:eastAsia="zh-HK"/>
              </w:rPr>
              <w:t xml:space="preserve"> service suppliers to </w:t>
            </w: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>set up</w:t>
            </w:r>
            <w:r w:rsidRPr="00C60842">
              <w:rPr>
                <w:rFonts w:ascii="Arial" w:hAnsi="Arial" w:cs="Arial"/>
                <w:sz w:val="28"/>
                <w:szCs w:val="28"/>
                <w:lang w:eastAsia="zh-HK"/>
              </w:rPr>
              <w:t xml:space="preserve"> wholly-owned entertainment premises </w:t>
            </w: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>in additional</w:t>
            </w:r>
            <w:r w:rsidRPr="00C60842">
              <w:rPr>
                <w:rFonts w:ascii="Arial" w:hAnsi="Arial" w:cs="Arial"/>
                <w:sz w:val="28"/>
                <w:szCs w:val="28"/>
                <w:lang w:eastAsia="zh-HK"/>
              </w:rPr>
              <w:t xml:space="preserve"> pilot</w:t>
            </w: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 xml:space="preserve"> areas in</w:t>
            </w:r>
            <w:r w:rsidRPr="00C60842">
              <w:rPr>
                <w:rFonts w:ascii="Arial" w:hAnsi="Arial" w:cs="Arial"/>
                <w:sz w:val="28"/>
                <w:szCs w:val="28"/>
                <w:lang w:eastAsia="zh-HK"/>
              </w:rPr>
              <w:t xml:space="preserve"> Guangdong Province.</w:t>
            </w:r>
          </w:p>
          <w:p w:rsidR="00F930A7" w:rsidRPr="00C60842" w:rsidRDefault="00F930A7" w:rsidP="00140C88">
            <w:pPr>
              <w:jc w:val="both"/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  <w:p w:rsidR="00F930A7" w:rsidRPr="00C60842" w:rsidRDefault="00F930A7" w:rsidP="00140C88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sz w:val="28"/>
                <w:szCs w:val="28"/>
                <w:lang w:eastAsia="zh-HK"/>
              </w:rPr>
            </w:pPr>
            <w:r w:rsidRPr="00C60842">
              <w:rPr>
                <w:rFonts w:ascii="Arial" w:hAnsi="Arial" w:cs="Arial"/>
                <w:sz w:val="28"/>
                <w:szCs w:val="28"/>
                <w:lang w:eastAsia="zh-HK"/>
              </w:rPr>
              <w:t xml:space="preserve">To allow </w:t>
            </w:r>
            <w:r>
              <w:rPr>
                <w:rFonts w:ascii="Arial" w:hAnsi="Arial" w:cs="Arial"/>
                <w:sz w:val="28"/>
                <w:szCs w:val="28"/>
                <w:lang w:eastAsia="zh-HK"/>
              </w:rPr>
              <w:t>Macao</w:t>
            </w:r>
            <w:r w:rsidRPr="00C60842">
              <w:rPr>
                <w:rFonts w:ascii="Arial" w:hAnsi="Arial" w:cs="Arial"/>
                <w:sz w:val="28"/>
                <w:szCs w:val="28"/>
                <w:lang w:eastAsia="zh-HK"/>
              </w:rPr>
              <w:t xml:space="preserve"> service suppliers to</w:t>
            </w: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 xml:space="preserve"> engage in</w:t>
            </w:r>
            <w:r w:rsidRPr="00C60842">
              <w:rPr>
                <w:rFonts w:ascii="Arial" w:hAnsi="Arial" w:cs="Arial"/>
                <w:sz w:val="28"/>
                <w:szCs w:val="28"/>
                <w:lang w:eastAsia="zh-HK"/>
              </w:rPr>
              <w:t xml:space="preserve"> the sales services of amusement game </w:t>
            </w: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>equipment</w:t>
            </w:r>
            <w:r w:rsidRPr="00C60842">
              <w:rPr>
                <w:rFonts w:ascii="Arial" w:hAnsi="Arial" w:cs="Arial"/>
                <w:sz w:val="28"/>
                <w:szCs w:val="28"/>
                <w:lang w:eastAsia="zh-HK"/>
              </w:rPr>
              <w:t>.</w:t>
            </w:r>
          </w:p>
          <w:p w:rsidR="00F930A7" w:rsidRDefault="00F930A7" w:rsidP="00140C88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  <w:p w:rsidR="00F930A7" w:rsidRDefault="00F930A7" w:rsidP="00140C88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  <w:p w:rsidR="00F930A7" w:rsidRPr="002414C5" w:rsidRDefault="00F930A7" w:rsidP="00140C88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</w:tc>
      </w:tr>
    </w:tbl>
    <w:p w:rsidR="00F930A7" w:rsidRPr="002414C5" w:rsidRDefault="00F930A7" w:rsidP="00F930A7">
      <w:pPr>
        <w:rPr>
          <w:rFonts w:ascii="Arial" w:hAnsi="Arial" w:cs="Arial"/>
          <w:sz w:val="28"/>
          <w:lang w:eastAsia="zh-HK"/>
        </w:rPr>
      </w:pPr>
    </w:p>
    <w:p w:rsidR="00F930A7" w:rsidRPr="009E3941" w:rsidRDefault="00F930A7" w:rsidP="00F930A7">
      <w:pPr>
        <w:widowControl/>
        <w:rPr>
          <w:rFonts w:ascii="Arial" w:hAnsi="Arial" w:cs="Arial"/>
          <w:sz w:val="28"/>
          <w:lang w:eastAsia="zh-HK"/>
        </w:rPr>
      </w:pPr>
    </w:p>
    <w:p w:rsidR="005D2443" w:rsidRDefault="005D2443"/>
    <w:sectPr w:rsidR="005D2443" w:rsidSect="000948DC">
      <w:headerReference w:type="default" r:id="rId7"/>
      <w:footerReference w:type="default" r:id="rId8"/>
      <w:footerReference w:type="first" r:id="rId9"/>
      <w:footnotePr>
        <w:numRestart w:val="eachPage"/>
      </w:footnotePr>
      <w:pgSz w:w="11906" w:h="16838"/>
      <w:pgMar w:top="1440" w:right="1558" w:bottom="1440" w:left="1800" w:header="851" w:footer="992" w:gutter="0"/>
      <w:pgNumType w:start="16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5F" w:rsidRDefault="0052115F" w:rsidP="00F930A7">
      <w:r>
        <w:separator/>
      </w:r>
    </w:p>
  </w:endnote>
  <w:endnote w:type="continuationSeparator" w:id="0">
    <w:p w:rsidR="0052115F" w:rsidRDefault="0052115F" w:rsidP="00F9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12047"/>
      <w:docPartObj>
        <w:docPartGallery w:val="Page Numbers (Bottom of Page)"/>
        <w:docPartUnique/>
      </w:docPartObj>
    </w:sdtPr>
    <w:sdtContent>
      <w:p w:rsidR="00140C88" w:rsidRDefault="00BE7189">
        <w:pPr>
          <w:pStyle w:val="a5"/>
          <w:jc w:val="center"/>
        </w:pPr>
        <w:fldSimple w:instr="PAGE   \* MERGEFORMAT">
          <w:r w:rsidR="0030750C" w:rsidRPr="0030750C">
            <w:rPr>
              <w:noProof/>
              <w:lang w:val="zh-TW"/>
            </w:rPr>
            <w:t>165</w:t>
          </w:r>
        </w:fldSimple>
      </w:p>
    </w:sdtContent>
  </w:sdt>
  <w:p w:rsidR="00140C88" w:rsidRDefault="00140C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8" w:rsidRDefault="00140C88" w:rsidP="00140C88">
    <w:pPr>
      <w:pStyle w:val="a5"/>
      <w:jc w:val="center"/>
      <w:rPr>
        <w:lang w:eastAsia="zh-H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5F" w:rsidRDefault="0052115F" w:rsidP="00F930A7">
      <w:r>
        <w:separator/>
      </w:r>
    </w:p>
  </w:footnote>
  <w:footnote w:type="continuationSeparator" w:id="0">
    <w:p w:rsidR="0052115F" w:rsidRDefault="0052115F" w:rsidP="00F930A7">
      <w:r>
        <w:continuationSeparator/>
      </w:r>
    </w:p>
  </w:footnote>
  <w:footnote w:id="1">
    <w:p w:rsidR="00F930A7" w:rsidRPr="00861409" w:rsidRDefault="00F930A7" w:rsidP="00F930A7">
      <w:pPr>
        <w:pStyle w:val="a8"/>
        <w:spacing w:after="120"/>
        <w:jc w:val="both"/>
      </w:pPr>
      <w:r w:rsidRPr="00861409">
        <w:rPr>
          <w:rStyle w:val="aa"/>
        </w:rPr>
        <w:footnoteRef/>
      </w:r>
      <w:r w:rsidRPr="00861409">
        <w:rPr>
          <w:rFonts w:hint="eastAsia"/>
          <w:lang w:eastAsia="zh-HK"/>
        </w:rPr>
        <w:t>With respect to the modes of commercial presence and cross-border service</w:t>
      </w:r>
      <w:r>
        <w:rPr>
          <w:rFonts w:hint="eastAsia"/>
          <w:lang w:eastAsia="zh-HK"/>
        </w:rPr>
        <w:t>s</w:t>
      </w:r>
      <w:r w:rsidRPr="00861409">
        <w:rPr>
          <w:rFonts w:hint="eastAsia"/>
          <w:lang w:eastAsia="zh-HK"/>
        </w:rPr>
        <w:t xml:space="preserve"> of cultural and related services sector (sub-sector)</w:t>
      </w:r>
      <w:r w:rsidRPr="00861409">
        <w:rPr>
          <w:rFonts w:hint="eastAsia"/>
        </w:rPr>
        <w:t xml:space="preserve">, the </w:t>
      </w:r>
      <w:r>
        <w:rPr>
          <w:rFonts w:hint="eastAsia"/>
          <w:lang w:eastAsia="zh-HK"/>
        </w:rPr>
        <w:t xml:space="preserve">liberalization </w:t>
      </w:r>
      <w:r w:rsidRPr="00861409">
        <w:rPr>
          <w:rFonts w:hint="eastAsia"/>
        </w:rPr>
        <w:t>commitment</w:t>
      </w:r>
      <w:r>
        <w:rPr>
          <w:rFonts w:hint="eastAsia"/>
          <w:lang w:eastAsia="zh-HK"/>
        </w:rPr>
        <w:t>s</w:t>
      </w:r>
      <w:r w:rsidRPr="00861409">
        <w:rPr>
          <w:rFonts w:hint="eastAsia"/>
        </w:rPr>
        <w:t xml:space="preserve"> by the Mainland to </w:t>
      </w:r>
      <w:r>
        <w:rPr>
          <w:rFonts w:hint="eastAsia"/>
        </w:rPr>
        <w:t>Macao</w:t>
      </w:r>
      <w:r w:rsidRPr="00861409">
        <w:rPr>
          <w:rFonts w:hint="eastAsia"/>
        </w:rPr>
        <w:t xml:space="preserve"> service suppliers in Guangdong Province will keep adopting Positive List to </w:t>
      </w:r>
      <w:r>
        <w:rPr>
          <w:rFonts w:hint="eastAsia"/>
          <w:lang w:eastAsia="zh-HK"/>
        </w:rPr>
        <w:t>set out</w:t>
      </w:r>
      <w:r w:rsidRPr="00861409">
        <w:rPr>
          <w:rFonts w:hint="eastAsia"/>
        </w:rPr>
        <w:t xml:space="preserve"> the </w:t>
      </w:r>
      <w:r w:rsidRPr="00861409">
        <w:rPr>
          <w:rFonts w:hint="eastAsia"/>
          <w:lang w:eastAsia="zh-HK"/>
        </w:rPr>
        <w:t>additional</w:t>
      </w:r>
      <w:r w:rsidRPr="00861409">
        <w:rPr>
          <w:rFonts w:hint="eastAsia"/>
        </w:rPr>
        <w:t xml:space="preserve"> liberalization measures.  </w:t>
      </w:r>
      <w:r>
        <w:rPr>
          <w:rFonts w:hint="eastAsia"/>
          <w:lang w:eastAsia="zh-HK"/>
        </w:rPr>
        <w:t>The e</w:t>
      </w:r>
      <w:r w:rsidRPr="00861409">
        <w:rPr>
          <w:rFonts w:hint="eastAsia"/>
        </w:rPr>
        <w:t>xisting c</w:t>
      </w:r>
      <w:r w:rsidRPr="00861409">
        <w:t>ommitments</w:t>
      </w:r>
      <w:r w:rsidRPr="00861409">
        <w:rPr>
          <w:rFonts w:hint="eastAsia"/>
        </w:rPr>
        <w:t xml:space="preserve"> involving cultur</w:t>
      </w:r>
      <w:r>
        <w:rPr>
          <w:rFonts w:hint="eastAsia"/>
        </w:rPr>
        <w:t xml:space="preserve">al services under CEPA and its </w:t>
      </w:r>
      <w:r>
        <w:rPr>
          <w:rFonts w:hint="eastAsia"/>
          <w:lang w:eastAsia="zh-HK"/>
        </w:rPr>
        <w:t>S</w:t>
      </w:r>
      <w:r w:rsidRPr="00861409">
        <w:rPr>
          <w:rFonts w:hint="eastAsia"/>
        </w:rPr>
        <w:t xml:space="preserve">upplements </w:t>
      </w:r>
      <w:r w:rsidRPr="00861409">
        <w:rPr>
          <w:rFonts w:hint="eastAsia"/>
          <w:lang w:eastAsia="zh-HK"/>
        </w:rPr>
        <w:t>shall</w:t>
      </w:r>
      <w:r w:rsidRPr="00861409">
        <w:rPr>
          <w:rFonts w:hint="eastAsia"/>
        </w:rPr>
        <w:t xml:space="preserve"> still be valid and</w:t>
      </w:r>
      <w:r w:rsidRPr="00861409">
        <w:rPr>
          <w:rFonts w:hint="eastAsia"/>
          <w:lang w:eastAsia="zh-HK"/>
        </w:rPr>
        <w:t xml:space="preserve"> continue to be</w:t>
      </w:r>
      <w:r w:rsidRPr="00861409">
        <w:rPr>
          <w:rFonts w:hint="eastAsia"/>
        </w:rPr>
        <w:t xml:space="preserve"> </w:t>
      </w:r>
      <w:r w:rsidRPr="00861409">
        <w:t>implemented</w:t>
      </w:r>
      <w:r w:rsidRPr="00861409">
        <w:rPr>
          <w:rFonts w:hint="eastAsia"/>
        </w:rPr>
        <w:t xml:space="preserve">.  </w:t>
      </w:r>
      <w:r>
        <w:rPr>
          <w:rFonts w:hint="eastAsia"/>
          <w:lang w:eastAsia="zh-HK"/>
        </w:rPr>
        <w:t xml:space="preserve">In the event that they are in conflict </w:t>
      </w:r>
      <w:r w:rsidRPr="00861409">
        <w:rPr>
          <w:rFonts w:hint="eastAsia"/>
        </w:rPr>
        <w:t xml:space="preserve">with the </w:t>
      </w:r>
      <w:r w:rsidRPr="00861409">
        <w:rPr>
          <w:rFonts w:hint="eastAsia"/>
          <w:lang w:eastAsia="zh-HK"/>
        </w:rPr>
        <w:t xml:space="preserve">additional liberalization measures of the </w:t>
      </w:r>
      <w:r>
        <w:rPr>
          <w:rFonts w:hint="eastAsia"/>
        </w:rPr>
        <w:t xml:space="preserve">Annex </w:t>
      </w:r>
      <w:r>
        <w:rPr>
          <w:rFonts w:hint="eastAsia"/>
          <w:lang w:eastAsia="zh-HK"/>
        </w:rPr>
        <w:t>to</w:t>
      </w:r>
      <w:r>
        <w:rPr>
          <w:rFonts w:hint="eastAsia"/>
        </w:rPr>
        <w:t xml:space="preserve"> this Agreement, the Annex </w:t>
      </w:r>
      <w:r>
        <w:rPr>
          <w:rFonts w:hint="eastAsia"/>
          <w:lang w:eastAsia="zh-HK"/>
        </w:rPr>
        <w:t>to</w:t>
      </w:r>
      <w:r w:rsidRPr="00861409">
        <w:rPr>
          <w:rFonts w:hint="eastAsia"/>
        </w:rPr>
        <w:t xml:space="preserve"> this Agreement shall prevail.</w:t>
      </w:r>
    </w:p>
    <w:p w:rsidR="00F930A7" w:rsidRPr="008C0089" w:rsidRDefault="00F930A7" w:rsidP="00F930A7">
      <w:pPr>
        <w:pStyle w:val="a8"/>
        <w:jc w:val="both"/>
        <w:rPr>
          <w:lang w:eastAsia="zh-HK"/>
        </w:rPr>
      </w:pPr>
      <w:r>
        <w:rPr>
          <w:rFonts w:hint="eastAsia"/>
        </w:rPr>
        <w:t xml:space="preserve">In this Agreement and its </w:t>
      </w:r>
      <w:r>
        <w:rPr>
          <w:rFonts w:hint="eastAsia"/>
          <w:lang w:eastAsia="zh-HK"/>
        </w:rPr>
        <w:t>Annex</w:t>
      </w:r>
      <w:r w:rsidRPr="00861409">
        <w:rPr>
          <w:rFonts w:hint="eastAsia"/>
        </w:rPr>
        <w:t>, the cultural sector in</w:t>
      </w:r>
      <w:r w:rsidRPr="00861409">
        <w:rPr>
          <w:rFonts w:hint="eastAsia"/>
          <w:lang w:eastAsia="zh-HK"/>
        </w:rPr>
        <w:t>cludes</w:t>
      </w:r>
      <w:r w:rsidRPr="00861409">
        <w:rPr>
          <w:rFonts w:hint="eastAsia"/>
        </w:rPr>
        <w:t xml:space="preserve"> service trade sectors (</w:t>
      </w:r>
      <w:r>
        <w:rPr>
          <w:rFonts w:hint="eastAsia"/>
          <w:lang w:eastAsia="zh-HK"/>
        </w:rPr>
        <w:t xml:space="preserve">and </w:t>
      </w:r>
      <w:r w:rsidRPr="00861409">
        <w:rPr>
          <w:rFonts w:hint="eastAsia"/>
        </w:rPr>
        <w:t xml:space="preserve">sub-sectors) of research and </w:t>
      </w:r>
      <w:r>
        <w:rPr>
          <w:rFonts w:hint="eastAsia"/>
          <w:lang w:eastAsia="zh-HK"/>
        </w:rPr>
        <w:t xml:space="preserve">experimental </w:t>
      </w:r>
      <w:r w:rsidRPr="00861409">
        <w:rPr>
          <w:rFonts w:hint="eastAsia"/>
        </w:rPr>
        <w:t>development services on social science</w:t>
      </w:r>
      <w:r>
        <w:rPr>
          <w:rFonts w:hint="eastAsia"/>
          <w:lang w:eastAsia="zh-HK"/>
        </w:rPr>
        <w:t>s</w:t>
      </w:r>
      <w:r>
        <w:rPr>
          <w:rFonts w:hint="eastAsia"/>
        </w:rPr>
        <w:t xml:space="preserve"> and humanities (CPC852)</w:t>
      </w:r>
      <w:r>
        <w:rPr>
          <w:rFonts w:hint="eastAsia"/>
          <w:lang w:eastAsia="zh-HK"/>
        </w:rPr>
        <w:t>,</w:t>
      </w:r>
      <w:r w:rsidRPr="00861409">
        <w:rPr>
          <w:rFonts w:hint="eastAsia"/>
        </w:rPr>
        <w:t xml:space="preserve"> </w:t>
      </w:r>
      <w:r>
        <w:rPr>
          <w:rFonts w:hint="eastAsia"/>
          <w:lang w:eastAsia="zh-HK"/>
        </w:rPr>
        <w:t>p</w:t>
      </w:r>
      <w:r w:rsidRPr="00861409">
        <w:rPr>
          <w:rFonts w:hint="eastAsia"/>
        </w:rPr>
        <w:t xml:space="preserve">rinting and publishing services (CPC88442), </w:t>
      </w:r>
      <w:r w:rsidRPr="00861409">
        <w:rPr>
          <w:rFonts w:hint="eastAsia"/>
          <w:lang w:eastAsia="zh-HK"/>
        </w:rPr>
        <w:t xml:space="preserve">read-only </w:t>
      </w:r>
      <w:r>
        <w:rPr>
          <w:rFonts w:hint="eastAsia"/>
          <w:lang w:eastAsia="zh-HK"/>
        </w:rPr>
        <w:t xml:space="preserve">optical </w:t>
      </w:r>
      <w:r w:rsidRPr="00861409">
        <w:rPr>
          <w:rFonts w:hint="eastAsia"/>
          <w:lang w:eastAsia="zh-HK"/>
        </w:rPr>
        <w:t xml:space="preserve">disc duplication services under </w:t>
      </w:r>
      <w:r w:rsidRPr="00861409">
        <w:rPr>
          <w:rFonts w:hint="eastAsia"/>
        </w:rPr>
        <w:t xml:space="preserve">other </w:t>
      </w:r>
      <w:r>
        <w:rPr>
          <w:rFonts w:hint="eastAsia"/>
          <w:lang w:eastAsia="zh-HK"/>
        </w:rPr>
        <w:t>business</w:t>
      </w:r>
      <w:r w:rsidRPr="00861409">
        <w:rPr>
          <w:rFonts w:hint="eastAsia"/>
        </w:rPr>
        <w:t xml:space="preserve"> services (CPC8790), motion picture and video tape production and distribution services (CPC9611), motion picture projection service (CPC9612), radio and television services (CPC9613), radio and television </w:t>
      </w:r>
      <w:r w:rsidRPr="00861409">
        <w:rPr>
          <w:rFonts w:hint="eastAsia"/>
          <w:lang w:eastAsia="zh-HK"/>
        </w:rPr>
        <w:t xml:space="preserve">broadcast </w:t>
      </w:r>
      <w:r w:rsidRPr="00861409">
        <w:rPr>
          <w:rFonts w:hint="eastAsia"/>
        </w:rPr>
        <w:t>transmission services (CPC7524), sound recording services, other audiovisual services, retail services</w:t>
      </w:r>
      <w:r w:rsidRPr="00861409">
        <w:rPr>
          <w:rFonts w:hint="eastAsia"/>
          <w:lang w:eastAsia="zh-HK"/>
        </w:rPr>
        <w:t xml:space="preserve"> of books, newspapers, magazines, cultural relics</w:t>
      </w:r>
      <w:r w:rsidRPr="00861409">
        <w:rPr>
          <w:rFonts w:hint="eastAsia"/>
        </w:rPr>
        <w:t xml:space="preserve"> (CPC631+632+6111+6113+6121), </w:t>
      </w:r>
      <w:r w:rsidRPr="00861409">
        <w:rPr>
          <w:rFonts w:hint="eastAsia"/>
          <w:lang w:eastAsia="zh-HK"/>
        </w:rPr>
        <w:t xml:space="preserve">cultural relic auctioning services under other distribution services, </w:t>
      </w:r>
      <w:r w:rsidRPr="00861409">
        <w:rPr>
          <w:rFonts w:hint="eastAsia"/>
        </w:rPr>
        <w:t>entertainment services (CPC9619), news agency services (CPC962), librar</w:t>
      </w:r>
      <w:r w:rsidRPr="00861409">
        <w:rPr>
          <w:rFonts w:hint="eastAsia"/>
          <w:lang w:eastAsia="zh-HK"/>
        </w:rPr>
        <w:t>y</w:t>
      </w:r>
      <w:r w:rsidRPr="00861409">
        <w:rPr>
          <w:rFonts w:hint="eastAsia"/>
        </w:rPr>
        <w:t>, archive, museum and other cultural services (CPC963), etc.</w:t>
      </w:r>
      <w:r w:rsidRPr="00861409">
        <w:rPr>
          <w:rFonts w:hint="eastAsia"/>
          <w:lang w:eastAsia="zh-HK"/>
        </w:rPr>
        <w:t>, (including cultural information services of news, publishing, audio-visual programmes, sound and images, games etc.</w:t>
      </w:r>
      <w:r>
        <w:rPr>
          <w:rFonts w:hint="eastAsia"/>
        </w:rPr>
        <w:t xml:space="preserve"> </w:t>
      </w:r>
      <w:r w:rsidRPr="00861409">
        <w:rPr>
          <w:rFonts w:hint="eastAsia"/>
          <w:lang w:eastAsia="zh-HK"/>
        </w:rPr>
        <w:t>provided through the internet, and cultural relic services.)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8" w:rsidRPr="0042110C" w:rsidRDefault="00140C88" w:rsidP="00140C88">
    <w:pPr>
      <w:pStyle w:val="a3"/>
      <w:jc w:val="center"/>
      <w:rPr>
        <w:rFonts w:ascii="Times New Roman" w:hAnsi="Times New Roman" w:cs="Times New Roman"/>
        <w:sz w:val="24"/>
        <w:szCs w:val="24"/>
        <w:lang w:eastAsia="zh-HK"/>
      </w:rPr>
    </w:pPr>
    <w:r>
      <w:rPr>
        <w:rFonts w:ascii="Times New Roman" w:hAnsi="Times New Roman" w:cs="Times New Roman" w:hint="eastAsia"/>
        <w:b/>
        <w:sz w:val="40"/>
        <w:szCs w:val="40"/>
        <w:lang w:eastAsia="zh-HK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0DD2"/>
    <w:multiLevelType w:val="hybridMultilevel"/>
    <w:tmpl w:val="1CE04840"/>
    <w:lvl w:ilvl="0" w:tplc="641C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930285"/>
    <w:multiLevelType w:val="hybridMultilevel"/>
    <w:tmpl w:val="AFBC54A6"/>
    <w:lvl w:ilvl="0" w:tplc="E698167C">
      <w:start w:val="1"/>
      <w:numFmt w:val="upperLetter"/>
      <w:lvlText w:val="%1."/>
      <w:lvlJc w:val="left"/>
      <w:pPr>
        <w:ind w:left="904" w:hanging="624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0A7"/>
    <w:rsid w:val="000948DC"/>
    <w:rsid w:val="00140C88"/>
    <w:rsid w:val="0030750C"/>
    <w:rsid w:val="003926C9"/>
    <w:rsid w:val="00402104"/>
    <w:rsid w:val="0052115F"/>
    <w:rsid w:val="005D2443"/>
    <w:rsid w:val="006A5739"/>
    <w:rsid w:val="00B01F1F"/>
    <w:rsid w:val="00BE7189"/>
    <w:rsid w:val="00F9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0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0A7"/>
    <w:rPr>
      <w:sz w:val="20"/>
      <w:szCs w:val="20"/>
    </w:rPr>
  </w:style>
  <w:style w:type="paragraph" w:styleId="a7">
    <w:name w:val="List Paragraph"/>
    <w:basedOn w:val="a"/>
    <w:uiPriority w:val="34"/>
    <w:qFormat/>
    <w:rsid w:val="00F930A7"/>
    <w:pPr>
      <w:ind w:leftChars="200" w:left="480"/>
    </w:pPr>
  </w:style>
  <w:style w:type="paragraph" w:styleId="a8">
    <w:name w:val="footnote text"/>
    <w:basedOn w:val="a"/>
    <w:link w:val="a9"/>
    <w:unhideWhenUsed/>
    <w:rsid w:val="00F930A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F930A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30A7"/>
    <w:rPr>
      <w:vertAlign w:val="superscript"/>
    </w:rPr>
  </w:style>
  <w:style w:type="table" w:styleId="ab">
    <w:name w:val="Table Grid"/>
    <w:basedOn w:val="a1"/>
    <w:uiPriority w:val="59"/>
    <w:rsid w:val="00F93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Macau Economic Services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Cheong Io Peng</cp:lastModifiedBy>
  <cp:revision>4</cp:revision>
  <dcterms:created xsi:type="dcterms:W3CDTF">2015-02-02T08:11:00Z</dcterms:created>
  <dcterms:modified xsi:type="dcterms:W3CDTF">2015-02-11T07:30:00Z</dcterms:modified>
</cp:coreProperties>
</file>