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76" w:rsidRPr="002414C5" w:rsidRDefault="00B34D76" w:rsidP="00B34D76">
      <w:pPr>
        <w:widowControl/>
        <w:rPr>
          <w:rFonts w:ascii="Arial" w:hAnsi="Arial" w:cs="Arial"/>
          <w:sz w:val="28"/>
          <w:lang w:eastAsia="zh-HK"/>
        </w:rPr>
      </w:pPr>
      <w:r w:rsidRPr="002414C5">
        <w:rPr>
          <w:rFonts w:ascii="Arial" w:hAnsi="Arial" w:cs="Arial"/>
          <w:sz w:val="28"/>
          <w:lang w:eastAsia="zh-HK"/>
        </w:rPr>
        <w:t>Table 3:</w:t>
      </w:r>
    </w:p>
    <w:p w:rsidR="00B34D76" w:rsidRPr="002414C5" w:rsidRDefault="00B34D76" w:rsidP="00B34D76">
      <w:pPr>
        <w:rPr>
          <w:rFonts w:ascii="Arial" w:hAnsi="Arial" w:cs="Arial"/>
          <w:sz w:val="28"/>
          <w:lang w:eastAsia="zh-HK"/>
        </w:rPr>
      </w:pPr>
    </w:p>
    <w:p w:rsidR="00B34D76" w:rsidRPr="002414C5" w:rsidRDefault="00B34D76" w:rsidP="00B34D76">
      <w:pPr>
        <w:jc w:val="center"/>
        <w:rPr>
          <w:rFonts w:ascii="Arial" w:hAnsi="Arial" w:cs="Arial"/>
          <w:sz w:val="28"/>
          <w:lang w:eastAsia="zh-HK"/>
        </w:rPr>
      </w:pPr>
      <w:r w:rsidRPr="002414C5">
        <w:rPr>
          <w:rFonts w:ascii="Arial" w:hAnsi="Arial" w:cs="Arial"/>
          <w:sz w:val="28"/>
          <w:lang w:eastAsia="zh-HK"/>
        </w:rPr>
        <w:t>Additional Liberalization Measures</w:t>
      </w:r>
      <w:r>
        <w:rPr>
          <w:rFonts w:ascii="Arial" w:hAnsi="Arial" w:cs="Arial" w:hint="eastAsia"/>
          <w:sz w:val="28"/>
          <w:lang w:eastAsia="zh-HK"/>
        </w:rPr>
        <w:t xml:space="preserve"> under Telecommunication</w:t>
      </w:r>
    </w:p>
    <w:p w:rsidR="00B34D76" w:rsidRPr="002414C5" w:rsidRDefault="00B34D76" w:rsidP="00B34D76">
      <w:pPr>
        <w:jc w:val="center"/>
        <w:rPr>
          <w:rFonts w:ascii="Arial" w:hAnsi="Arial" w:cs="Arial"/>
          <w:sz w:val="28"/>
          <w:lang w:eastAsia="zh-HK"/>
        </w:rPr>
      </w:pPr>
      <w:r w:rsidRPr="002414C5">
        <w:rPr>
          <w:rFonts w:ascii="Arial" w:hAnsi="Arial" w:cs="Arial"/>
          <w:sz w:val="28"/>
          <w:lang w:eastAsia="zh-HK"/>
        </w:rPr>
        <w:t>(Positive List)</w:t>
      </w:r>
      <w:r w:rsidRPr="002414C5">
        <w:rPr>
          <w:rStyle w:val="aa"/>
          <w:rFonts w:ascii="Arial" w:hAnsi="Arial" w:cs="Arial"/>
          <w:sz w:val="28"/>
          <w:lang w:eastAsia="zh-HK"/>
        </w:rPr>
        <w:footnoteReference w:id="1"/>
      </w:r>
    </w:p>
    <w:p w:rsidR="00B34D76" w:rsidRPr="002414C5" w:rsidRDefault="00B34D76" w:rsidP="00B34D76">
      <w:pPr>
        <w:jc w:val="center"/>
        <w:rPr>
          <w:rFonts w:ascii="Arial" w:hAnsi="Arial" w:cs="Arial"/>
          <w:sz w:val="28"/>
          <w:lang w:eastAsia="zh-HK"/>
        </w:rPr>
      </w:pPr>
    </w:p>
    <w:tbl>
      <w:tblPr>
        <w:tblStyle w:val="ab"/>
        <w:tblW w:w="9039" w:type="dxa"/>
        <w:tblLook w:val="04A0"/>
      </w:tblPr>
      <w:tblGrid>
        <w:gridCol w:w="1881"/>
        <w:gridCol w:w="7158"/>
      </w:tblGrid>
      <w:tr w:rsidR="00B34D76" w:rsidRPr="002414C5" w:rsidTr="008E47DA">
        <w:trPr>
          <w:trHeight w:val="581"/>
        </w:trPr>
        <w:tc>
          <w:tcPr>
            <w:tcW w:w="1866" w:type="dxa"/>
            <w:vMerge w:val="restart"/>
          </w:tcPr>
          <w:p w:rsidR="00B34D76" w:rsidRPr="002414C5" w:rsidRDefault="00B34D76" w:rsidP="008E47DA">
            <w:pPr>
              <w:rPr>
                <w:rFonts w:ascii="Arial" w:hAnsi="Arial" w:cs="Arial"/>
                <w:lang w:eastAsia="zh-HK"/>
              </w:rPr>
            </w:pPr>
            <w:r w:rsidRPr="002414C5">
              <w:rPr>
                <w:rFonts w:ascii="Arial" w:hAnsi="Arial" w:cs="Arial"/>
                <w:sz w:val="28"/>
                <w:szCs w:val="28"/>
              </w:rPr>
              <w:t>Sector</w:t>
            </w:r>
            <w:r w:rsidRPr="002414C5">
              <w:rPr>
                <w:rFonts w:ascii="Arial" w:hAnsi="Arial" w:cs="Arial"/>
                <w:sz w:val="28"/>
                <w:szCs w:val="28"/>
                <w:lang w:eastAsia="zh-HK"/>
              </w:rPr>
              <w:t xml:space="preserve">s or Sub-sectors </w:t>
            </w:r>
          </w:p>
        </w:tc>
        <w:tc>
          <w:tcPr>
            <w:tcW w:w="7173" w:type="dxa"/>
          </w:tcPr>
          <w:p w:rsidR="00B34D76" w:rsidRPr="002414C5" w:rsidRDefault="00B34D76" w:rsidP="008E47DA">
            <w:pPr>
              <w:rPr>
                <w:rFonts w:ascii="Arial" w:hAnsi="Arial" w:cs="Arial"/>
                <w:lang w:eastAsia="zh-HK"/>
              </w:rPr>
            </w:pPr>
            <w:r w:rsidRPr="002414C5">
              <w:rPr>
                <w:rFonts w:ascii="Arial" w:hAnsi="Arial" w:cs="Arial"/>
                <w:sz w:val="28"/>
                <w:szCs w:val="28"/>
                <w:lang w:eastAsia="zh-HK"/>
              </w:rPr>
              <w:t>2</w:t>
            </w:r>
            <w:r w:rsidRPr="002414C5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2414C5">
              <w:rPr>
                <w:rFonts w:ascii="Arial" w:hAnsi="Arial" w:cs="Arial"/>
                <w:sz w:val="28"/>
                <w:szCs w:val="28"/>
                <w:lang w:eastAsia="zh-HK"/>
              </w:rPr>
              <w:t>Communication</w:t>
            </w:r>
            <w:r>
              <w:rPr>
                <w:rFonts w:ascii="Arial" w:hAnsi="Arial" w:cs="Arial" w:hint="eastAsia"/>
                <w:sz w:val="28"/>
                <w:szCs w:val="28"/>
                <w:lang w:eastAsia="zh-HK"/>
              </w:rPr>
              <w:t>s</w:t>
            </w:r>
            <w:r w:rsidRPr="002414C5">
              <w:rPr>
                <w:rFonts w:ascii="Arial" w:hAnsi="Arial" w:cs="Arial"/>
                <w:sz w:val="28"/>
                <w:szCs w:val="28"/>
                <w:lang w:eastAsia="zh-HK"/>
              </w:rPr>
              <w:t xml:space="preserve"> </w:t>
            </w:r>
            <w:r w:rsidRPr="002414C5">
              <w:rPr>
                <w:rFonts w:ascii="Arial" w:hAnsi="Arial" w:cs="Arial"/>
                <w:sz w:val="28"/>
                <w:szCs w:val="28"/>
              </w:rPr>
              <w:t>services</w:t>
            </w:r>
          </w:p>
        </w:tc>
      </w:tr>
      <w:tr w:rsidR="00B34D76" w:rsidRPr="002414C5" w:rsidTr="008E47DA">
        <w:trPr>
          <w:trHeight w:val="561"/>
        </w:trPr>
        <w:tc>
          <w:tcPr>
            <w:tcW w:w="1866" w:type="dxa"/>
            <w:vMerge/>
          </w:tcPr>
          <w:p w:rsidR="00B34D76" w:rsidRPr="002414C5" w:rsidRDefault="00B34D76" w:rsidP="008E47DA">
            <w:pPr>
              <w:rPr>
                <w:rFonts w:ascii="Arial" w:hAnsi="Arial" w:cs="Arial"/>
                <w:sz w:val="28"/>
                <w:szCs w:val="28"/>
                <w:lang w:eastAsia="zh-HK"/>
              </w:rPr>
            </w:pPr>
          </w:p>
        </w:tc>
        <w:tc>
          <w:tcPr>
            <w:tcW w:w="7173" w:type="dxa"/>
          </w:tcPr>
          <w:p w:rsidR="00B34D76" w:rsidRPr="002414C5" w:rsidRDefault="00B34D76" w:rsidP="008E47DA">
            <w:pPr>
              <w:ind w:firstLineChars="100" w:firstLine="280"/>
              <w:rPr>
                <w:rFonts w:ascii="Arial" w:hAnsi="Arial" w:cs="Arial"/>
                <w:lang w:eastAsia="zh-HK"/>
              </w:rPr>
            </w:pPr>
            <w:r w:rsidRPr="002414C5">
              <w:rPr>
                <w:rFonts w:ascii="Arial" w:hAnsi="Arial" w:cs="Arial"/>
                <w:sz w:val="28"/>
                <w:szCs w:val="28"/>
                <w:lang w:eastAsia="zh-HK"/>
              </w:rPr>
              <w:t>C</w:t>
            </w:r>
            <w:r w:rsidRPr="002414C5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2414C5">
              <w:rPr>
                <w:rFonts w:ascii="Arial" w:hAnsi="Arial" w:cs="Arial"/>
                <w:sz w:val="28"/>
                <w:szCs w:val="28"/>
                <w:lang w:eastAsia="zh-HK"/>
              </w:rPr>
              <w:t>Telecommunication</w:t>
            </w:r>
            <w:r>
              <w:rPr>
                <w:rFonts w:ascii="Arial" w:hAnsi="Arial" w:cs="Arial" w:hint="eastAsia"/>
                <w:sz w:val="28"/>
                <w:szCs w:val="28"/>
                <w:lang w:eastAsia="zh-HK"/>
              </w:rPr>
              <w:t>s</w:t>
            </w:r>
            <w:r w:rsidRPr="002414C5">
              <w:rPr>
                <w:rFonts w:ascii="Arial" w:hAnsi="Arial" w:cs="Arial"/>
                <w:sz w:val="28"/>
                <w:szCs w:val="28"/>
              </w:rPr>
              <w:t xml:space="preserve"> services</w:t>
            </w:r>
          </w:p>
        </w:tc>
      </w:tr>
      <w:tr w:rsidR="00B34D76" w:rsidRPr="002414C5" w:rsidTr="008E47DA">
        <w:trPr>
          <w:trHeight w:val="555"/>
        </w:trPr>
        <w:tc>
          <w:tcPr>
            <w:tcW w:w="1866" w:type="dxa"/>
            <w:vMerge/>
          </w:tcPr>
          <w:p w:rsidR="00B34D76" w:rsidRPr="002414C5" w:rsidRDefault="00B34D76" w:rsidP="008E47DA">
            <w:pPr>
              <w:rPr>
                <w:rFonts w:ascii="Arial" w:hAnsi="Arial" w:cs="Arial"/>
                <w:sz w:val="28"/>
                <w:szCs w:val="28"/>
                <w:lang w:eastAsia="zh-HK"/>
              </w:rPr>
            </w:pPr>
          </w:p>
        </w:tc>
        <w:tc>
          <w:tcPr>
            <w:tcW w:w="7173" w:type="dxa"/>
          </w:tcPr>
          <w:p w:rsidR="00B34D76" w:rsidRPr="002E23EE" w:rsidRDefault="00B34D76" w:rsidP="008E47DA">
            <w:pPr>
              <w:pStyle w:val="a7"/>
              <w:numPr>
                <w:ilvl w:val="0"/>
                <w:numId w:val="3"/>
              </w:numPr>
              <w:ind w:leftChars="0"/>
              <w:rPr>
                <w:rFonts w:ascii="Arial" w:hAnsi="Arial" w:cs="Arial"/>
                <w:sz w:val="28"/>
                <w:lang w:eastAsia="zh-HK"/>
              </w:rPr>
            </w:pPr>
            <w:r w:rsidRPr="002E23EE">
              <w:rPr>
                <w:rFonts w:ascii="Arial" w:hAnsi="Arial" w:cs="Arial" w:hint="eastAsia"/>
                <w:sz w:val="28"/>
                <w:lang w:eastAsia="zh-HK"/>
              </w:rPr>
              <w:t>Voice telephone services</w:t>
            </w:r>
          </w:p>
          <w:p w:rsidR="00B34D76" w:rsidRDefault="00B34D76" w:rsidP="008E47DA">
            <w:pPr>
              <w:pStyle w:val="a7"/>
              <w:numPr>
                <w:ilvl w:val="0"/>
                <w:numId w:val="3"/>
              </w:numPr>
              <w:ind w:leftChars="0"/>
              <w:rPr>
                <w:rFonts w:ascii="Arial" w:hAnsi="Arial" w:cs="Arial"/>
                <w:sz w:val="28"/>
                <w:lang w:eastAsia="zh-HK"/>
              </w:rPr>
            </w:pPr>
            <w:r>
              <w:rPr>
                <w:rFonts w:ascii="Arial" w:hAnsi="Arial" w:cs="Arial" w:hint="eastAsia"/>
                <w:sz w:val="28"/>
                <w:lang w:eastAsia="zh-HK"/>
              </w:rPr>
              <w:t>Packet-switched data transmission services</w:t>
            </w:r>
          </w:p>
          <w:p w:rsidR="00B34D76" w:rsidRDefault="00B34D76" w:rsidP="008E47DA">
            <w:pPr>
              <w:pStyle w:val="a7"/>
              <w:numPr>
                <w:ilvl w:val="0"/>
                <w:numId w:val="3"/>
              </w:numPr>
              <w:ind w:leftChars="0"/>
              <w:rPr>
                <w:rFonts w:ascii="Arial" w:hAnsi="Arial" w:cs="Arial"/>
                <w:sz w:val="28"/>
                <w:lang w:eastAsia="zh-HK"/>
              </w:rPr>
            </w:pPr>
            <w:r>
              <w:rPr>
                <w:rFonts w:ascii="Arial" w:hAnsi="Arial" w:cs="Arial" w:hint="eastAsia"/>
                <w:sz w:val="28"/>
                <w:lang w:eastAsia="zh-HK"/>
              </w:rPr>
              <w:t>Circuit-switched data transmission services</w:t>
            </w:r>
          </w:p>
          <w:p w:rsidR="00B34D76" w:rsidRDefault="00B34D76" w:rsidP="008E47DA">
            <w:pPr>
              <w:pStyle w:val="a7"/>
              <w:numPr>
                <w:ilvl w:val="0"/>
                <w:numId w:val="3"/>
              </w:numPr>
              <w:ind w:leftChars="0"/>
              <w:rPr>
                <w:rFonts w:ascii="Arial" w:hAnsi="Arial" w:cs="Arial"/>
                <w:sz w:val="28"/>
                <w:lang w:eastAsia="zh-HK"/>
              </w:rPr>
            </w:pPr>
            <w:r>
              <w:rPr>
                <w:rFonts w:ascii="Arial" w:hAnsi="Arial" w:cs="Arial" w:hint="eastAsia"/>
                <w:sz w:val="28"/>
                <w:lang w:eastAsia="zh-HK"/>
              </w:rPr>
              <w:t>Telex services</w:t>
            </w:r>
          </w:p>
          <w:p w:rsidR="00B34D76" w:rsidRDefault="00B34D76" w:rsidP="008E47DA">
            <w:pPr>
              <w:pStyle w:val="a7"/>
              <w:numPr>
                <w:ilvl w:val="0"/>
                <w:numId w:val="3"/>
              </w:numPr>
              <w:ind w:leftChars="0"/>
              <w:rPr>
                <w:rFonts w:ascii="Arial" w:hAnsi="Arial" w:cs="Arial"/>
                <w:sz w:val="28"/>
                <w:lang w:eastAsia="zh-HK"/>
              </w:rPr>
            </w:pPr>
            <w:r>
              <w:rPr>
                <w:rFonts w:ascii="Arial" w:hAnsi="Arial" w:cs="Arial" w:hint="eastAsia"/>
                <w:sz w:val="28"/>
                <w:lang w:eastAsia="zh-HK"/>
              </w:rPr>
              <w:t>Telegraph services</w:t>
            </w:r>
          </w:p>
          <w:p w:rsidR="00B34D76" w:rsidRDefault="00B34D76" w:rsidP="008E47DA">
            <w:pPr>
              <w:pStyle w:val="a7"/>
              <w:numPr>
                <w:ilvl w:val="0"/>
                <w:numId w:val="3"/>
              </w:numPr>
              <w:ind w:leftChars="0"/>
              <w:rPr>
                <w:rFonts w:ascii="Arial" w:hAnsi="Arial" w:cs="Arial"/>
                <w:sz w:val="28"/>
                <w:lang w:eastAsia="zh-HK"/>
              </w:rPr>
            </w:pPr>
            <w:r>
              <w:rPr>
                <w:rFonts w:ascii="Arial" w:hAnsi="Arial" w:cs="Arial" w:hint="eastAsia"/>
                <w:sz w:val="28"/>
                <w:lang w:eastAsia="zh-HK"/>
              </w:rPr>
              <w:t>Facsimile services</w:t>
            </w:r>
          </w:p>
          <w:p w:rsidR="00B34D76" w:rsidRDefault="00B34D76" w:rsidP="008E47DA">
            <w:pPr>
              <w:pStyle w:val="a7"/>
              <w:numPr>
                <w:ilvl w:val="0"/>
                <w:numId w:val="3"/>
              </w:numPr>
              <w:ind w:leftChars="0"/>
              <w:rPr>
                <w:rFonts w:ascii="Arial" w:hAnsi="Arial" w:cs="Arial"/>
                <w:sz w:val="28"/>
                <w:lang w:eastAsia="zh-HK"/>
              </w:rPr>
            </w:pPr>
            <w:r>
              <w:rPr>
                <w:rFonts w:ascii="Arial" w:hAnsi="Arial" w:cs="Arial" w:hint="eastAsia"/>
                <w:sz w:val="28"/>
                <w:lang w:eastAsia="zh-HK"/>
              </w:rPr>
              <w:t>Private leased circuit services</w:t>
            </w:r>
          </w:p>
          <w:p w:rsidR="00B34D76" w:rsidRDefault="00B34D76" w:rsidP="008E47DA">
            <w:pPr>
              <w:pStyle w:val="a7"/>
              <w:numPr>
                <w:ilvl w:val="0"/>
                <w:numId w:val="3"/>
              </w:numPr>
              <w:ind w:leftChars="0"/>
              <w:rPr>
                <w:rFonts w:ascii="Arial" w:hAnsi="Arial" w:cs="Arial"/>
                <w:sz w:val="28"/>
                <w:lang w:eastAsia="zh-HK"/>
              </w:rPr>
            </w:pPr>
            <w:r>
              <w:rPr>
                <w:rFonts w:ascii="Arial" w:hAnsi="Arial" w:cs="Arial" w:hint="eastAsia"/>
                <w:sz w:val="28"/>
                <w:lang w:eastAsia="zh-HK"/>
              </w:rPr>
              <w:t>Electronic mail services</w:t>
            </w:r>
          </w:p>
          <w:p w:rsidR="00B34D76" w:rsidRDefault="00B34D76" w:rsidP="008E47DA">
            <w:pPr>
              <w:pStyle w:val="a7"/>
              <w:numPr>
                <w:ilvl w:val="0"/>
                <w:numId w:val="3"/>
              </w:numPr>
              <w:ind w:leftChars="0"/>
              <w:rPr>
                <w:rFonts w:ascii="Arial" w:hAnsi="Arial" w:cs="Arial"/>
                <w:sz w:val="28"/>
                <w:lang w:eastAsia="zh-HK"/>
              </w:rPr>
            </w:pPr>
            <w:r>
              <w:rPr>
                <w:rFonts w:ascii="Arial" w:hAnsi="Arial" w:cs="Arial" w:hint="eastAsia"/>
                <w:sz w:val="28"/>
                <w:lang w:eastAsia="zh-HK"/>
              </w:rPr>
              <w:t>Voice mail services</w:t>
            </w:r>
          </w:p>
          <w:p w:rsidR="00B34D76" w:rsidRDefault="00B34D76" w:rsidP="008E47DA">
            <w:pPr>
              <w:pStyle w:val="a7"/>
              <w:numPr>
                <w:ilvl w:val="0"/>
                <w:numId w:val="3"/>
              </w:numPr>
              <w:ind w:leftChars="0"/>
              <w:rPr>
                <w:rFonts w:ascii="Arial" w:hAnsi="Arial" w:cs="Arial"/>
                <w:sz w:val="28"/>
                <w:lang w:eastAsia="zh-HK"/>
              </w:rPr>
            </w:pPr>
            <w:r>
              <w:rPr>
                <w:rFonts w:ascii="Arial" w:hAnsi="Arial" w:cs="Arial" w:hint="eastAsia"/>
                <w:sz w:val="28"/>
                <w:lang w:eastAsia="zh-HK"/>
              </w:rPr>
              <w:t>On-line information and data base retrieval services</w:t>
            </w:r>
          </w:p>
          <w:p w:rsidR="00B34D76" w:rsidRDefault="00B34D76" w:rsidP="008E47DA">
            <w:pPr>
              <w:pStyle w:val="a7"/>
              <w:numPr>
                <w:ilvl w:val="0"/>
                <w:numId w:val="3"/>
              </w:numPr>
              <w:ind w:leftChars="0"/>
              <w:rPr>
                <w:rFonts w:ascii="Arial" w:hAnsi="Arial" w:cs="Arial"/>
                <w:sz w:val="28"/>
                <w:lang w:eastAsia="zh-HK"/>
              </w:rPr>
            </w:pPr>
            <w:r>
              <w:rPr>
                <w:rFonts w:ascii="Arial" w:hAnsi="Arial" w:cs="Arial"/>
                <w:sz w:val="28"/>
                <w:lang w:eastAsia="zh-HK"/>
              </w:rPr>
              <w:t>E</w:t>
            </w:r>
            <w:r>
              <w:rPr>
                <w:rFonts w:ascii="Arial" w:hAnsi="Arial" w:cs="Arial" w:hint="eastAsia"/>
                <w:sz w:val="28"/>
                <w:lang w:eastAsia="zh-HK"/>
              </w:rPr>
              <w:t>lectronic data interchange (EDI) services</w:t>
            </w:r>
          </w:p>
          <w:p w:rsidR="00B34D76" w:rsidRDefault="00B34D76" w:rsidP="008E47DA">
            <w:pPr>
              <w:pStyle w:val="a7"/>
              <w:numPr>
                <w:ilvl w:val="0"/>
                <w:numId w:val="3"/>
              </w:numPr>
              <w:ind w:leftChars="0"/>
              <w:rPr>
                <w:rFonts w:ascii="Arial" w:hAnsi="Arial" w:cs="Arial"/>
                <w:sz w:val="28"/>
                <w:lang w:eastAsia="zh-HK"/>
              </w:rPr>
            </w:pPr>
            <w:r>
              <w:rPr>
                <w:rFonts w:ascii="Arial" w:hAnsi="Arial" w:cs="Arial"/>
                <w:sz w:val="28"/>
                <w:lang w:eastAsia="zh-HK"/>
              </w:rPr>
              <w:t>E</w:t>
            </w:r>
            <w:r>
              <w:rPr>
                <w:rFonts w:ascii="Arial" w:hAnsi="Arial" w:cs="Arial" w:hint="eastAsia"/>
                <w:sz w:val="28"/>
                <w:lang w:eastAsia="zh-HK"/>
              </w:rPr>
              <w:t>nhanced/value-added facsimile services, including store and forward, store and retrieve</w:t>
            </w:r>
          </w:p>
          <w:p w:rsidR="00B34D76" w:rsidRDefault="00B34D76" w:rsidP="008E47DA">
            <w:pPr>
              <w:pStyle w:val="a7"/>
              <w:numPr>
                <w:ilvl w:val="0"/>
                <w:numId w:val="3"/>
              </w:numPr>
              <w:ind w:leftChars="0"/>
              <w:rPr>
                <w:rFonts w:ascii="Arial" w:hAnsi="Arial" w:cs="Arial"/>
                <w:sz w:val="28"/>
                <w:lang w:eastAsia="zh-HK"/>
              </w:rPr>
            </w:pPr>
            <w:r>
              <w:rPr>
                <w:rFonts w:ascii="Arial" w:hAnsi="Arial" w:cs="Arial"/>
                <w:sz w:val="28"/>
                <w:lang w:eastAsia="zh-HK"/>
              </w:rPr>
              <w:t>C</w:t>
            </w:r>
            <w:r>
              <w:rPr>
                <w:rFonts w:ascii="Arial" w:hAnsi="Arial" w:cs="Arial" w:hint="eastAsia"/>
                <w:sz w:val="28"/>
                <w:lang w:eastAsia="zh-HK"/>
              </w:rPr>
              <w:t>ode and protocol conversion services</w:t>
            </w:r>
          </w:p>
          <w:p w:rsidR="00B34D76" w:rsidRDefault="00B34D76" w:rsidP="008E47DA">
            <w:pPr>
              <w:pStyle w:val="a7"/>
              <w:numPr>
                <w:ilvl w:val="0"/>
                <w:numId w:val="3"/>
              </w:numPr>
              <w:ind w:leftChars="0"/>
              <w:rPr>
                <w:rFonts w:ascii="Arial" w:hAnsi="Arial" w:cs="Arial"/>
                <w:sz w:val="28"/>
                <w:lang w:eastAsia="zh-HK"/>
              </w:rPr>
            </w:pPr>
            <w:r>
              <w:rPr>
                <w:rFonts w:ascii="Arial" w:hAnsi="Arial" w:cs="Arial"/>
                <w:sz w:val="28"/>
                <w:lang w:eastAsia="zh-HK"/>
              </w:rPr>
              <w:t>O</w:t>
            </w:r>
            <w:r>
              <w:rPr>
                <w:rFonts w:ascii="Arial" w:hAnsi="Arial" w:cs="Arial" w:hint="eastAsia"/>
                <w:sz w:val="28"/>
                <w:lang w:eastAsia="zh-HK"/>
              </w:rPr>
              <w:t>n-line information and/or data processing (including transaction processing)</w:t>
            </w:r>
          </w:p>
          <w:p w:rsidR="00B34D76" w:rsidRPr="002E23EE" w:rsidRDefault="00B34D76" w:rsidP="008E47DA">
            <w:pPr>
              <w:pStyle w:val="a7"/>
              <w:numPr>
                <w:ilvl w:val="0"/>
                <w:numId w:val="3"/>
              </w:numPr>
              <w:ind w:leftChars="0"/>
              <w:rPr>
                <w:rFonts w:ascii="Arial" w:hAnsi="Arial" w:cs="Arial"/>
                <w:sz w:val="28"/>
                <w:lang w:eastAsia="zh-HK"/>
              </w:rPr>
            </w:pPr>
            <w:r>
              <w:rPr>
                <w:rFonts w:ascii="Arial" w:hAnsi="Arial" w:cs="Arial"/>
                <w:sz w:val="28"/>
                <w:lang w:eastAsia="zh-HK"/>
              </w:rPr>
              <w:t>O</w:t>
            </w:r>
            <w:r>
              <w:rPr>
                <w:rFonts w:ascii="Arial" w:hAnsi="Arial" w:cs="Arial" w:hint="eastAsia"/>
                <w:sz w:val="28"/>
                <w:lang w:eastAsia="zh-HK"/>
              </w:rPr>
              <w:t>ther (paging, teleconference, mobile maritime and air-to-ground communications, etc.)</w:t>
            </w:r>
          </w:p>
          <w:p w:rsidR="00B34D76" w:rsidRPr="002414C5" w:rsidRDefault="00B34D76" w:rsidP="008E47DA">
            <w:pPr>
              <w:ind w:firstLineChars="200" w:firstLine="480"/>
              <w:rPr>
                <w:rFonts w:ascii="Arial" w:hAnsi="Arial" w:cs="Arial"/>
                <w:lang w:eastAsia="zh-HK"/>
              </w:rPr>
            </w:pPr>
          </w:p>
        </w:tc>
      </w:tr>
      <w:tr w:rsidR="00B34D76" w:rsidRPr="002414C5" w:rsidTr="008E47DA">
        <w:tc>
          <w:tcPr>
            <w:tcW w:w="1866" w:type="dxa"/>
          </w:tcPr>
          <w:p w:rsidR="00B34D76" w:rsidRPr="002414C5" w:rsidRDefault="00B34D76" w:rsidP="008E47DA">
            <w:pPr>
              <w:rPr>
                <w:rFonts w:ascii="Arial" w:hAnsi="Arial" w:cs="Arial"/>
                <w:sz w:val="28"/>
                <w:szCs w:val="28"/>
                <w:lang w:eastAsia="zh-HK"/>
              </w:rPr>
            </w:pPr>
            <w:r w:rsidRPr="002414C5">
              <w:rPr>
                <w:rFonts w:ascii="Arial" w:hAnsi="Arial" w:cs="Arial"/>
                <w:sz w:val="28"/>
                <w:szCs w:val="28"/>
                <w:lang w:eastAsia="zh-HK"/>
              </w:rPr>
              <w:t>Specific commitments</w:t>
            </w:r>
          </w:p>
        </w:tc>
        <w:tc>
          <w:tcPr>
            <w:tcW w:w="7173" w:type="dxa"/>
          </w:tcPr>
          <w:p w:rsidR="00B34D76" w:rsidRPr="002414C5" w:rsidRDefault="00B34D76" w:rsidP="008E47DA">
            <w:pPr>
              <w:rPr>
                <w:rFonts w:ascii="Arial" w:hAnsi="Arial" w:cs="Arial"/>
                <w:sz w:val="28"/>
                <w:szCs w:val="28"/>
                <w:u w:val="single"/>
                <w:lang w:eastAsia="zh-HK"/>
              </w:rPr>
            </w:pPr>
            <w:r w:rsidRPr="002414C5">
              <w:rPr>
                <w:rFonts w:ascii="Arial" w:hAnsi="Arial" w:cs="Arial"/>
                <w:sz w:val="28"/>
                <w:szCs w:val="28"/>
                <w:u w:val="single"/>
                <w:lang w:eastAsia="zh-HK"/>
              </w:rPr>
              <w:t>Commercial Presence</w:t>
            </w:r>
            <w:r w:rsidRPr="002414C5">
              <w:rPr>
                <w:rFonts w:ascii="Arial" w:hAnsi="Arial" w:cs="Arial"/>
                <w:sz w:val="28"/>
                <w:szCs w:val="28"/>
                <w:lang w:eastAsia="zh-HK"/>
              </w:rPr>
              <w:t xml:space="preserve"> </w:t>
            </w:r>
          </w:p>
          <w:p w:rsidR="00B34D76" w:rsidRPr="00C66E80" w:rsidRDefault="00B34D76" w:rsidP="008E47DA">
            <w:pPr>
              <w:rPr>
                <w:rFonts w:ascii="Arial" w:hAnsi="Arial" w:cs="Arial"/>
                <w:sz w:val="28"/>
                <w:szCs w:val="28"/>
                <w:lang w:eastAsia="zh-HK"/>
              </w:rPr>
            </w:pPr>
          </w:p>
          <w:p w:rsidR="00B34D76" w:rsidRPr="00D25AC9" w:rsidRDefault="00B34D76" w:rsidP="008E47D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rFonts w:ascii="Arial" w:eastAsia="Arial Unicode MS" w:hAnsi="Arial" w:cs="Arial"/>
                <w:sz w:val="28"/>
                <w:szCs w:val="28"/>
              </w:rPr>
            </w:pP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 xml:space="preserve">To allow 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>Macao</w:t>
            </w: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 xml:space="preserve"> service suppliers to set up joint ventures or wholly-owned enterprises in the Guangdong</w:t>
            </w:r>
            <w:r w:rsidRPr="00D25AC9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</w:t>
            </w: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 xml:space="preserve">Province to provide multi-party </w:t>
            </w:r>
            <w:r w:rsidRPr="00D25AC9">
              <w:rPr>
                <w:rFonts w:ascii="Arial" w:eastAsia="Arial Unicode MS" w:hAnsi="Arial" w:cs="Arial"/>
                <w:sz w:val="28"/>
                <w:szCs w:val="28"/>
              </w:rPr>
              <w:lastRenderedPageBreak/>
              <w:t xml:space="preserve">communications services within the Mainland. There is no restriction on the proportion of 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>Macao</w:t>
            </w: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 xml:space="preserve"> service suppliers' shareholding.</w:t>
            </w:r>
          </w:p>
          <w:p w:rsidR="00B34D76" w:rsidRPr="00D25AC9" w:rsidRDefault="00B34D76" w:rsidP="008E47D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rFonts w:ascii="Arial" w:eastAsia="Arial Unicode MS" w:hAnsi="Arial" w:cs="Arial"/>
                <w:sz w:val="28"/>
                <w:szCs w:val="28"/>
              </w:rPr>
            </w:pP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 xml:space="preserve">To allow 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>Macao</w:t>
            </w: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 xml:space="preserve"> service suppliers to set</w:t>
            </w:r>
            <w:r w:rsidRPr="00D25AC9">
              <w:rPr>
                <w:rFonts w:ascii="Arial" w:eastAsia="Arial Unicode MS" w:hAnsi="Arial" w:cs="Arial"/>
                <w:sz w:val="28"/>
                <w:szCs w:val="28"/>
                <w:lang w:eastAsia="zh-HK"/>
              </w:rPr>
              <w:t xml:space="preserve"> </w:t>
            </w: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>up joint ventures or wholly-owned enterprises in the Guangdong</w:t>
            </w:r>
            <w:r w:rsidRPr="00D25AC9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</w:t>
            </w: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 xml:space="preserve">Province to provide store and forward services. There is no restriction on the proportion of 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>Macao</w:t>
            </w: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 xml:space="preserve"> service suppliers' shareholding.</w:t>
            </w:r>
          </w:p>
          <w:p w:rsidR="00B34D76" w:rsidRPr="00D25AC9" w:rsidRDefault="00B34D76" w:rsidP="008E47D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rFonts w:ascii="Arial" w:eastAsia="Arial Unicode MS" w:hAnsi="Arial" w:cs="Arial"/>
                <w:sz w:val="28"/>
                <w:szCs w:val="28"/>
              </w:rPr>
            </w:pP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 xml:space="preserve">To allow 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>Macao</w:t>
            </w: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 xml:space="preserve"> service suppliers to set up joint ventures or wholly-owned enterprises in the Guangdong</w:t>
            </w:r>
            <w:r w:rsidRPr="00D25AC9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</w:t>
            </w: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 xml:space="preserve">Province to provide call centre services. There is no restriction on the proportion of 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>Macao</w:t>
            </w: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 xml:space="preserve"> service suppliers' shareholding.</w:t>
            </w:r>
          </w:p>
          <w:p w:rsidR="00B34D76" w:rsidRPr="00D25AC9" w:rsidRDefault="00B34D76" w:rsidP="008E47D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rFonts w:ascii="Arial" w:eastAsia="Arial Unicode MS" w:hAnsi="Arial" w:cs="Arial"/>
                <w:sz w:val="28"/>
                <w:szCs w:val="28"/>
              </w:rPr>
            </w:pPr>
            <w:r w:rsidRPr="00D25AC9">
              <w:rPr>
                <w:rFonts w:ascii="Arial" w:eastAsia="Arial Unicode MS" w:hAnsi="Arial" w:cs="Arial"/>
                <w:sz w:val="28"/>
                <w:szCs w:val="28"/>
                <w:lang w:eastAsia="zh-CN"/>
              </w:rPr>
              <w:t xml:space="preserve">To allow </w:t>
            </w:r>
            <w:r>
              <w:rPr>
                <w:rFonts w:ascii="Arial" w:eastAsia="Arial Unicode MS" w:hAnsi="Arial" w:cs="Arial"/>
                <w:sz w:val="28"/>
                <w:szCs w:val="28"/>
                <w:lang w:eastAsia="zh-CN"/>
              </w:rPr>
              <w:t>Macao</w:t>
            </w:r>
            <w:r w:rsidRPr="00D25AC9">
              <w:rPr>
                <w:rFonts w:ascii="Arial" w:eastAsia="Arial Unicode MS" w:hAnsi="Arial" w:cs="Arial"/>
                <w:sz w:val="28"/>
                <w:szCs w:val="28"/>
                <w:lang w:eastAsia="zh-CN"/>
              </w:rPr>
              <w:t xml:space="preserve"> service suppliers to set up </w:t>
            </w: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>joint ventures or wholly-owned enterprises</w:t>
            </w:r>
            <w:r w:rsidRPr="00D25AC9">
              <w:rPr>
                <w:rFonts w:ascii="Arial" w:eastAsia="Arial Unicode MS" w:hAnsi="Arial" w:cs="Arial"/>
                <w:sz w:val="28"/>
                <w:szCs w:val="28"/>
                <w:lang w:eastAsia="zh-CN"/>
              </w:rPr>
              <w:t xml:space="preserve"> in the Guangdong</w:t>
            </w:r>
            <w:r w:rsidRPr="00D25AC9">
              <w:rPr>
                <w:rFonts w:ascii="Arial" w:eastAsia="Arial Unicode MS" w:hAnsi="Arial" w:cs="Arial"/>
                <w:sz w:val="28"/>
                <w:szCs w:val="28"/>
                <w:lang w:val="en-GB" w:eastAsia="zh-CN"/>
              </w:rPr>
              <w:t xml:space="preserve"> </w:t>
            </w:r>
            <w:r w:rsidRPr="00D25AC9">
              <w:rPr>
                <w:rFonts w:ascii="Arial" w:eastAsia="Arial Unicode MS" w:hAnsi="Arial" w:cs="Arial"/>
                <w:sz w:val="28"/>
                <w:szCs w:val="28"/>
                <w:lang w:eastAsia="zh-CN"/>
              </w:rPr>
              <w:t>Province to provide Internet access services (</w:t>
            </w: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>to provide I</w:t>
            </w:r>
            <w:r w:rsidRPr="00D25AC9">
              <w:rPr>
                <w:rFonts w:ascii="Arial" w:eastAsia="Arial Unicode MS" w:hAnsi="Arial" w:cs="Arial"/>
                <w:sz w:val="28"/>
                <w:szCs w:val="28"/>
                <w:lang w:eastAsia="zh-CN"/>
              </w:rPr>
              <w:t>nternet access services</w:t>
            </w: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 xml:space="preserve"> </w:t>
            </w:r>
            <w:r w:rsidRPr="00D25AC9">
              <w:rPr>
                <w:rFonts w:ascii="Arial" w:eastAsia="Arial Unicode MS" w:hAnsi="Arial" w:cs="Arial"/>
                <w:sz w:val="28"/>
                <w:szCs w:val="28"/>
                <w:lang w:eastAsia="zh-CN"/>
              </w:rPr>
              <w:t>to users</w:t>
            </w: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 xml:space="preserve"> within</w:t>
            </w:r>
            <w:r w:rsidRPr="00D25AC9">
              <w:rPr>
                <w:rFonts w:ascii="Arial" w:eastAsia="Arial Unicode MS" w:hAnsi="Arial" w:cs="Arial"/>
                <w:sz w:val="28"/>
                <w:szCs w:val="28"/>
                <w:lang w:eastAsia="zh-CN"/>
              </w:rPr>
              <w:t xml:space="preserve"> the area of Guangdong Province only). </w:t>
            </w: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 xml:space="preserve">There is no restriction on the proportion of 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>Macao</w:t>
            </w: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 xml:space="preserve"> service suppliers' shareholding.</w:t>
            </w:r>
          </w:p>
          <w:p w:rsidR="00B34D76" w:rsidRPr="0077772B" w:rsidRDefault="00B34D76" w:rsidP="008E47DA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rFonts w:ascii="Arial" w:eastAsia="Arial Unicode MS" w:hAnsi="Arial" w:cs="Arial"/>
                <w:sz w:val="28"/>
                <w:szCs w:val="28"/>
              </w:rPr>
            </w:pPr>
            <w:r w:rsidRPr="00D25AC9">
              <w:rPr>
                <w:rFonts w:ascii="Arial" w:eastAsia="Arial Unicode MS" w:hAnsi="Arial" w:cs="Arial"/>
                <w:sz w:val="28"/>
                <w:szCs w:val="28"/>
                <w:lang w:eastAsia="zh-CN"/>
              </w:rPr>
              <w:t xml:space="preserve">To allow </w:t>
            </w:r>
            <w:r>
              <w:rPr>
                <w:rFonts w:ascii="Arial" w:eastAsia="Arial Unicode MS" w:hAnsi="Arial" w:cs="Arial"/>
                <w:sz w:val="28"/>
                <w:szCs w:val="28"/>
                <w:lang w:eastAsia="zh-CN"/>
              </w:rPr>
              <w:t>Macao</w:t>
            </w:r>
            <w:r w:rsidRPr="00D25AC9">
              <w:rPr>
                <w:rFonts w:ascii="Arial" w:eastAsia="Arial Unicode MS" w:hAnsi="Arial" w:cs="Arial"/>
                <w:sz w:val="28"/>
                <w:szCs w:val="28"/>
                <w:lang w:eastAsia="zh-CN"/>
              </w:rPr>
              <w:t xml:space="preserve"> service suppliers to set up </w:t>
            </w: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>joint ventures or wholly-owned enterprises</w:t>
            </w:r>
            <w:r w:rsidRPr="00D25AC9">
              <w:rPr>
                <w:rFonts w:ascii="Arial" w:eastAsia="Arial Unicode MS" w:hAnsi="Arial" w:cs="Arial"/>
                <w:sz w:val="28"/>
                <w:szCs w:val="28"/>
                <w:lang w:eastAsia="zh-CN"/>
              </w:rPr>
              <w:t xml:space="preserve"> in Guangdong Province to provide content services</w:t>
            </w:r>
            <w:r w:rsidRPr="00D25AC9">
              <w:rPr>
                <w:rFonts w:ascii="Arial" w:eastAsia="Arial Unicode MS" w:hAnsi="Arial" w:cs="Arial"/>
                <w:sz w:val="28"/>
                <w:szCs w:val="28"/>
                <w:lang w:val="en-GB" w:eastAsia="zh-CN"/>
              </w:rPr>
              <w:t xml:space="preserve"> (</w:t>
            </w: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>a</w:t>
            </w:r>
            <w:r w:rsidRPr="00D25AC9">
              <w:rPr>
                <w:rFonts w:ascii="Arial" w:eastAsia="Arial Unicode MS" w:hAnsi="Arial" w:cs="Arial"/>
                <w:sz w:val="28"/>
                <w:szCs w:val="28"/>
                <w:lang w:eastAsia="zh-CN"/>
              </w:rPr>
              <w:t>pp</w:t>
            </w: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>lication</w:t>
            </w:r>
            <w:r w:rsidRPr="00D25AC9">
              <w:rPr>
                <w:rFonts w:ascii="Arial" w:eastAsia="Arial Unicode MS" w:hAnsi="Arial" w:cs="Arial"/>
                <w:sz w:val="28"/>
                <w:szCs w:val="28"/>
                <w:lang w:eastAsia="zh-CN"/>
              </w:rPr>
              <w:t xml:space="preserve"> stores</w:t>
            </w:r>
            <w:r w:rsidRPr="00D25AC9">
              <w:rPr>
                <w:rFonts w:ascii="Arial" w:eastAsia="Arial Unicode MS" w:hAnsi="Arial" w:cs="Arial"/>
                <w:sz w:val="28"/>
                <w:szCs w:val="28"/>
                <w:lang w:val="en-GB" w:eastAsia="zh-CN"/>
              </w:rPr>
              <w:t>)</w:t>
            </w:r>
            <w:r w:rsidRPr="00D25AC9">
              <w:rPr>
                <w:rFonts w:ascii="Arial" w:eastAsia="Arial Unicode MS" w:hAnsi="Arial" w:cs="Arial"/>
                <w:sz w:val="28"/>
                <w:szCs w:val="28"/>
                <w:lang w:eastAsia="zh-CN"/>
              </w:rPr>
              <w:t xml:space="preserve">. </w:t>
            </w: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 xml:space="preserve">There is no restriction on the proportion of 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>Macao</w:t>
            </w:r>
            <w:r w:rsidRPr="00D25AC9">
              <w:rPr>
                <w:rFonts w:ascii="Arial" w:eastAsia="Arial Unicode MS" w:hAnsi="Arial" w:cs="Arial"/>
                <w:sz w:val="28"/>
                <w:szCs w:val="28"/>
              </w:rPr>
              <w:t xml:space="preserve"> service suppliers' shareholding.</w:t>
            </w:r>
          </w:p>
          <w:p w:rsidR="00B34D76" w:rsidRDefault="00B34D76" w:rsidP="008E47DA">
            <w:pPr>
              <w:rPr>
                <w:rFonts w:ascii="Arial" w:hAnsi="Arial" w:cs="Arial"/>
                <w:sz w:val="28"/>
                <w:szCs w:val="28"/>
                <w:lang w:eastAsia="zh-HK"/>
              </w:rPr>
            </w:pPr>
          </w:p>
          <w:p w:rsidR="00B34D76" w:rsidRDefault="00B34D76" w:rsidP="008E47DA">
            <w:pPr>
              <w:rPr>
                <w:rFonts w:ascii="Arial" w:hAnsi="Arial" w:cs="Arial"/>
                <w:sz w:val="28"/>
                <w:szCs w:val="28"/>
                <w:lang w:eastAsia="zh-HK"/>
              </w:rPr>
            </w:pPr>
          </w:p>
          <w:p w:rsidR="00B34D76" w:rsidRPr="00965B9C" w:rsidRDefault="00B34D76" w:rsidP="008E47DA">
            <w:pPr>
              <w:rPr>
                <w:rFonts w:ascii="Arial" w:hAnsi="Arial" w:cs="Arial"/>
                <w:sz w:val="28"/>
                <w:szCs w:val="28"/>
                <w:lang w:eastAsia="zh-HK"/>
              </w:rPr>
            </w:pPr>
          </w:p>
        </w:tc>
      </w:tr>
    </w:tbl>
    <w:p w:rsidR="00B34D76" w:rsidRPr="002414C5" w:rsidRDefault="00B34D76" w:rsidP="00B34D76">
      <w:pPr>
        <w:rPr>
          <w:rFonts w:ascii="Arial" w:hAnsi="Arial" w:cs="Arial"/>
          <w:sz w:val="28"/>
          <w:lang w:eastAsia="zh-HK"/>
        </w:rPr>
      </w:pPr>
    </w:p>
    <w:p w:rsidR="00B34D76" w:rsidRPr="002414C5" w:rsidRDefault="00B34D76" w:rsidP="00B34D76">
      <w:pPr>
        <w:widowControl/>
        <w:rPr>
          <w:rFonts w:ascii="Arial" w:hAnsi="Arial" w:cs="Arial"/>
          <w:sz w:val="28"/>
          <w:lang w:eastAsia="zh-HK"/>
        </w:rPr>
      </w:pPr>
    </w:p>
    <w:sectPr w:rsidR="00B34D76" w:rsidRPr="002414C5" w:rsidSect="009E3941">
      <w:headerReference w:type="default" r:id="rId7"/>
      <w:footerReference w:type="default" r:id="rId8"/>
      <w:footerReference w:type="first" r:id="rId9"/>
      <w:footnotePr>
        <w:numRestart w:val="eachPage"/>
      </w:footnotePr>
      <w:pgSz w:w="11906" w:h="16838"/>
      <w:pgMar w:top="1440" w:right="1558" w:bottom="1440" w:left="1800" w:header="851" w:footer="992" w:gutter="0"/>
      <w:pgNumType w:start="16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06" w:rsidRDefault="007E0506" w:rsidP="00B34D76">
      <w:r>
        <w:separator/>
      </w:r>
    </w:p>
  </w:endnote>
  <w:endnote w:type="continuationSeparator" w:id="0">
    <w:p w:rsidR="007E0506" w:rsidRDefault="007E0506" w:rsidP="00B34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412047"/>
      <w:docPartObj>
        <w:docPartGallery w:val="Page Numbers (Bottom of Page)"/>
        <w:docPartUnique/>
      </w:docPartObj>
    </w:sdtPr>
    <w:sdtContent>
      <w:p w:rsidR="00F32C8F" w:rsidRDefault="00FE1635">
        <w:pPr>
          <w:pStyle w:val="a5"/>
          <w:jc w:val="center"/>
        </w:pPr>
        <w:r>
          <w:fldChar w:fldCharType="begin"/>
        </w:r>
        <w:r w:rsidR="009E3941">
          <w:instrText>PAGE   \* MERGEFORMAT</w:instrText>
        </w:r>
        <w:r>
          <w:fldChar w:fldCharType="separate"/>
        </w:r>
        <w:r w:rsidR="00513B83" w:rsidRPr="00513B83">
          <w:rPr>
            <w:noProof/>
            <w:lang w:val="zh-TW"/>
          </w:rPr>
          <w:t>164</w:t>
        </w:r>
        <w:r>
          <w:fldChar w:fldCharType="end"/>
        </w:r>
      </w:p>
    </w:sdtContent>
  </w:sdt>
  <w:p w:rsidR="00F32C8F" w:rsidRDefault="007E05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8F" w:rsidRDefault="007E0506" w:rsidP="000B5D3A">
    <w:pPr>
      <w:pStyle w:val="a5"/>
      <w:jc w:val="center"/>
      <w:rPr>
        <w:lang w:eastAsia="zh-H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06" w:rsidRDefault="007E0506" w:rsidP="00B34D76">
      <w:r>
        <w:separator/>
      </w:r>
    </w:p>
  </w:footnote>
  <w:footnote w:type="continuationSeparator" w:id="0">
    <w:p w:rsidR="007E0506" w:rsidRDefault="007E0506" w:rsidP="00B34D76">
      <w:r>
        <w:continuationSeparator/>
      </w:r>
    </w:p>
  </w:footnote>
  <w:footnote w:id="1">
    <w:p w:rsidR="00B34D76" w:rsidRDefault="00B34D76" w:rsidP="00B34D76">
      <w:pPr>
        <w:pStyle w:val="a8"/>
        <w:spacing w:after="120"/>
        <w:jc w:val="both"/>
      </w:pPr>
      <w:r>
        <w:rPr>
          <w:rStyle w:val="aa"/>
        </w:rPr>
        <w:footnoteRef/>
      </w:r>
      <w:r>
        <w:rPr>
          <w:rFonts w:hint="eastAsia"/>
        </w:rPr>
        <w:t xml:space="preserve">With respect to the </w:t>
      </w:r>
      <w:r>
        <w:rPr>
          <w:rFonts w:hint="eastAsia"/>
          <w:lang w:eastAsia="zh-HK"/>
        </w:rPr>
        <w:t xml:space="preserve">modes of </w:t>
      </w:r>
      <w:r>
        <w:t>commercial</w:t>
      </w:r>
      <w:r>
        <w:rPr>
          <w:rFonts w:hint="eastAsia"/>
        </w:rPr>
        <w:t xml:space="preserve"> presence</w:t>
      </w:r>
      <w:r w:rsidRPr="008C0089">
        <w:rPr>
          <w:rFonts w:hint="eastAsia"/>
        </w:rPr>
        <w:t xml:space="preserve"> and cross-border services of telecommunication services sector </w:t>
      </w:r>
      <w:r>
        <w:rPr>
          <w:rFonts w:hint="eastAsia"/>
        </w:rPr>
        <w:t xml:space="preserve">(sub-sector), the </w:t>
      </w:r>
      <w:r>
        <w:rPr>
          <w:rFonts w:hint="eastAsia"/>
          <w:lang w:eastAsia="zh-HK"/>
        </w:rPr>
        <w:t xml:space="preserve">liberalization </w:t>
      </w:r>
      <w:r>
        <w:rPr>
          <w:rFonts w:hint="eastAsia"/>
        </w:rPr>
        <w:t>commitment</w:t>
      </w:r>
      <w:r>
        <w:rPr>
          <w:rFonts w:hint="eastAsia"/>
          <w:lang w:eastAsia="zh-HK"/>
        </w:rPr>
        <w:t>s</w:t>
      </w:r>
      <w:r>
        <w:rPr>
          <w:rFonts w:hint="eastAsia"/>
        </w:rPr>
        <w:t xml:space="preserve"> by</w:t>
      </w:r>
      <w:r w:rsidRPr="008C0089">
        <w:rPr>
          <w:rFonts w:hint="eastAsia"/>
        </w:rPr>
        <w:t xml:space="preserve"> the Mainland to </w:t>
      </w:r>
      <w:r>
        <w:rPr>
          <w:rFonts w:hint="eastAsia"/>
        </w:rPr>
        <w:t>Macao</w:t>
      </w:r>
      <w:r w:rsidRPr="008C0089">
        <w:rPr>
          <w:rFonts w:hint="eastAsia"/>
        </w:rPr>
        <w:t xml:space="preserve"> service </w:t>
      </w:r>
      <w:r>
        <w:rPr>
          <w:rFonts w:hint="eastAsia"/>
        </w:rPr>
        <w:t>suppliers</w:t>
      </w:r>
      <w:r w:rsidRPr="008C0089">
        <w:rPr>
          <w:rFonts w:hint="eastAsia"/>
        </w:rPr>
        <w:t xml:space="preserve"> in Guangdong Province </w:t>
      </w:r>
      <w:r>
        <w:rPr>
          <w:rFonts w:hint="eastAsia"/>
        </w:rPr>
        <w:t xml:space="preserve">will keep adopting </w:t>
      </w:r>
      <w:r w:rsidRPr="008C0089">
        <w:rPr>
          <w:rFonts w:hint="eastAsia"/>
        </w:rPr>
        <w:t xml:space="preserve">Positive List to </w:t>
      </w:r>
      <w:r>
        <w:rPr>
          <w:rFonts w:hint="eastAsia"/>
          <w:lang w:eastAsia="zh-HK"/>
        </w:rPr>
        <w:t>set out</w:t>
      </w:r>
      <w:r w:rsidRPr="008C0089">
        <w:rPr>
          <w:rFonts w:hint="eastAsia"/>
        </w:rPr>
        <w:t xml:space="preserve"> the </w:t>
      </w:r>
      <w:r>
        <w:rPr>
          <w:rFonts w:hint="eastAsia"/>
          <w:lang w:eastAsia="zh-HK"/>
        </w:rPr>
        <w:t>additional</w:t>
      </w:r>
      <w:r w:rsidRPr="008C0089">
        <w:rPr>
          <w:rFonts w:hint="eastAsia"/>
        </w:rPr>
        <w:t xml:space="preserve"> liberalization measures.  </w:t>
      </w:r>
      <w:r>
        <w:rPr>
          <w:rFonts w:hint="eastAsia"/>
          <w:lang w:eastAsia="zh-HK"/>
        </w:rPr>
        <w:t>The e</w:t>
      </w:r>
      <w:r>
        <w:rPr>
          <w:rFonts w:hint="eastAsia"/>
        </w:rPr>
        <w:t>xisting</w:t>
      </w:r>
      <w:r w:rsidRPr="008C0089">
        <w:rPr>
          <w:rFonts w:hint="eastAsia"/>
        </w:rPr>
        <w:t xml:space="preserve"> c</w:t>
      </w:r>
      <w:r w:rsidRPr="008C0089">
        <w:t>ommitments</w:t>
      </w:r>
      <w:r w:rsidRPr="008C0089">
        <w:rPr>
          <w:rFonts w:hint="eastAsia"/>
        </w:rPr>
        <w:t xml:space="preserve"> involving telecommunication service sectors and sub-sectors under CEPA and its </w:t>
      </w:r>
      <w:r>
        <w:rPr>
          <w:rFonts w:hint="eastAsia"/>
          <w:lang w:eastAsia="zh-HK"/>
        </w:rPr>
        <w:t>S</w:t>
      </w:r>
      <w:r>
        <w:rPr>
          <w:rFonts w:hint="eastAsia"/>
        </w:rPr>
        <w:t xml:space="preserve">upplements </w:t>
      </w:r>
      <w:r w:rsidRPr="008C0089">
        <w:rPr>
          <w:rFonts w:hint="eastAsia"/>
        </w:rPr>
        <w:t xml:space="preserve">are still valid and will continue to be </w:t>
      </w:r>
      <w:r w:rsidRPr="008C0089">
        <w:t>implemented</w:t>
      </w:r>
      <w:r w:rsidRPr="008C0089">
        <w:rPr>
          <w:rFonts w:hint="eastAsia"/>
        </w:rPr>
        <w:t xml:space="preserve">.  </w:t>
      </w:r>
      <w:r>
        <w:rPr>
          <w:rFonts w:hint="eastAsia"/>
          <w:lang w:eastAsia="zh-HK"/>
        </w:rPr>
        <w:t>In the event that they are in conflict</w:t>
      </w:r>
      <w:r>
        <w:rPr>
          <w:rFonts w:hint="eastAsia"/>
        </w:rPr>
        <w:t xml:space="preserve"> with the Annex </w:t>
      </w:r>
      <w:r>
        <w:rPr>
          <w:rFonts w:hint="eastAsia"/>
          <w:lang w:eastAsia="zh-HK"/>
        </w:rPr>
        <w:t>to</w:t>
      </w:r>
      <w:r w:rsidRPr="008C0089">
        <w:rPr>
          <w:rFonts w:hint="eastAsia"/>
        </w:rPr>
        <w:t xml:space="preserve"> this Agreement, </w:t>
      </w:r>
      <w:r>
        <w:rPr>
          <w:rFonts w:hint="eastAsia"/>
        </w:rPr>
        <w:t xml:space="preserve">the Annex </w:t>
      </w:r>
      <w:r>
        <w:rPr>
          <w:rFonts w:hint="eastAsia"/>
          <w:lang w:eastAsia="zh-HK"/>
        </w:rPr>
        <w:t>to</w:t>
      </w:r>
      <w:r>
        <w:rPr>
          <w:rFonts w:hint="eastAsia"/>
        </w:rPr>
        <w:t xml:space="preserve"> </w:t>
      </w:r>
      <w:r w:rsidRPr="008C0089">
        <w:rPr>
          <w:rFonts w:hint="eastAsia"/>
        </w:rPr>
        <w:t xml:space="preserve">this Agreement </w:t>
      </w:r>
      <w:r>
        <w:rPr>
          <w:rFonts w:hint="eastAsia"/>
        </w:rPr>
        <w:t>shall prevail</w:t>
      </w:r>
      <w:r w:rsidRPr="008C0089">
        <w:rPr>
          <w:rFonts w:hint="eastAsi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8F" w:rsidRPr="0042110C" w:rsidRDefault="009E3941" w:rsidP="00147D55">
    <w:pPr>
      <w:pStyle w:val="a3"/>
      <w:jc w:val="center"/>
      <w:rPr>
        <w:rFonts w:ascii="Times New Roman" w:hAnsi="Times New Roman" w:cs="Times New Roman"/>
        <w:sz w:val="24"/>
        <w:szCs w:val="24"/>
        <w:lang w:eastAsia="zh-HK"/>
      </w:rPr>
    </w:pPr>
    <w:r>
      <w:rPr>
        <w:rFonts w:ascii="Times New Roman" w:hAnsi="Times New Roman" w:cs="Times New Roman" w:hint="eastAsia"/>
        <w:b/>
        <w:sz w:val="40"/>
        <w:szCs w:val="40"/>
        <w:lang w:eastAsia="zh-HK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7497"/>
    <w:multiLevelType w:val="hybridMultilevel"/>
    <w:tmpl w:val="FBF69C7A"/>
    <w:lvl w:ilvl="0" w:tplc="8584AA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F320DD2"/>
    <w:multiLevelType w:val="hybridMultilevel"/>
    <w:tmpl w:val="1CE04840"/>
    <w:lvl w:ilvl="0" w:tplc="641C1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05110C"/>
    <w:multiLevelType w:val="hybridMultilevel"/>
    <w:tmpl w:val="501A7752"/>
    <w:lvl w:ilvl="0" w:tplc="81D8E0BC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7B930285"/>
    <w:multiLevelType w:val="hybridMultilevel"/>
    <w:tmpl w:val="AFBC54A6"/>
    <w:lvl w:ilvl="0" w:tplc="E698167C">
      <w:start w:val="1"/>
      <w:numFmt w:val="upperLetter"/>
      <w:lvlText w:val="%1."/>
      <w:lvlJc w:val="left"/>
      <w:pPr>
        <w:ind w:left="904" w:hanging="624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D76"/>
    <w:rsid w:val="00004CED"/>
    <w:rsid w:val="00060566"/>
    <w:rsid w:val="00121D19"/>
    <w:rsid w:val="00513B83"/>
    <w:rsid w:val="005D2443"/>
    <w:rsid w:val="007E0506"/>
    <w:rsid w:val="009E3941"/>
    <w:rsid w:val="00B34D76"/>
    <w:rsid w:val="00FE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4D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4D76"/>
    <w:rPr>
      <w:sz w:val="20"/>
      <w:szCs w:val="20"/>
    </w:rPr>
  </w:style>
  <w:style w:type="paragraph" w:styleId="a7">
    <w:name w:val="List Paragraph"/>
    <w:basedOn w:val="a"/>
    <w:uiPriority w:val="34"/>
    <w:qFormat/>
    <w:rsid w:val="00B34D76"/>
    <w:pPr>
      <w:ind w:leftChars="200" w:left="480"/>
    </w:pPr>
  </w:style>
  <w:style w:type="paragraph" w:styleId="a8">
    <w:name w:val="footnote text"/>
    <w:basedOn w:val="a"/>
    <w:link w:val="a9"/>
    <w:unhideWhenUsed/>
    <w:rsid w:val="00B34D76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rsid w:val="00B34D7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34D76"/>
    <w:rPr>
      <w:vertAlign w:val="superscript"/>
    </w:rPr>
  </w:style>
  <w:style w:type="table" w:styleId="ab">
    <w:name w:val="Table Grid"/>
    <w:basedOn w:val="a1"/>
    <w:uiPriority w:val="59"/>
    <w:rsid w:val="00B34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1827</Characters>
  <Application>Microsoft Office Word</Application>
  <DocSecurity>0</DocSecurity>
  <Lines>15</Lines>
  <Paragraphs>4</Paragraphs>
  <ScaleCrop>false</ScaleCrop>
  <Company>Macau Economic Services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Cheong Io Peng</cp:lastModifiedBy>
  <cp:revision>4</cp:revision>
  <dcterms:created xsi:type="dcterms:W3CDTF">2015-02-02T08:09:00Z</dcterms:created>
  <dcterms:modified xsi:type="dcterms:W3CDTF">2015-02-11T07:31:00Z</dcterms:modified>
</cp:coreProperties>
</file>